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9C" w:rsidRPr="00E71605" w:rsidRDefault="00E71605" w:rsidP="00E71605">
      <w:pPr>
        <w:jc w:val="center"/>
        <w:rPr>
          <w:b/>
          <w:sz w:val="24"/>
          <w:szCs w:val="24"/>
          <w:lang w:val="en-US"/>
        </w:rPr>
      </w:pPr>
      <w:r w:rsidRPr="00E71605">
        <w:rPr>
          <w:b/>
          <w:sz w:val="24"/>
          <w:szCs w:val="24"/>
          <w:lang w:val="en-US"/>
        </w:rPr>
        <w:t>Preparing for University – More than just a degree</w:t>
      </w:r>
    </w:p>
    <w:p w:rsidR="00E71605" w:rsidRPr="00E71605" w:rsidRDefault="00E71605">
      <w:pPr>
        <w:rPr>
          <w:sz w:val="24"/>
          <w:szCs w:val="24"/>
          <w:lang w:val="en-US"/>
        </w:rPr>
      </w:pPr>
    </w:p>
    <w:p w:rsidR="00E71605" w:rsidRPr="00E71605" w:rsidRDefault="00E71605">
      <w:pPr>
        <w:rPr>
          <w:sz w:val="24"/>
          <w:szCs w:val="24"/>
          <w:lang w:val="en-US"/>
        </w:rPr>
      </w:pPr>
      <w:r w:rsidRPr="00E71605">
        <w:rPr>
          <w:sz w:val="24"/>
          <w:szCs w:val="24"/>
          <w:lang w:val="en-US"/>
        </w:rPr>
        <w:t>University is more than just a degree, there are a range of opportunities for you to take and a whole support network for you to access so that you make the most out of the university experience.</w:t>
      </w:r>
    </w:p>
    <w:p w:rsidR="00E71605" w:rsidRDefault="00E71605">
      <w:pPr>
        <w:rPr>
          <w:sz w:val="24"/>
          <w:szCs w:val="24"/>
          <w:lang w:val="en-US"/>
        </w:rPr>
      </w:pPr>
      <w:r w:rsidRPr="00E71605">
        <w:rPr>
          <w:sz w:val="24"/>
          <w:szCs w:val="24"/>
          <w:lang w:val="en-US"/>
        </w:rPr>
        <w:t>Your university experience can be made up of the following:</w:t>
      </w:r>
    </w:p>
    <w:p w:rsidR="00E71605" w:rsidRPr="00A761BB" w:rsidRDefault="00E71605" w:rsidP="00A761BB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  <w:lang w:val="en-US"/>
        </w:rPr>
      </w:pPr>
      <w:r w:rsidRPr="00A761BB">
        <w:rPr>
          <w:b/>
          <w:sz w:val="24"/>
          <w:szCs w:val="24"/>
          <w:lang w:val="en-US"/>
        </w:rPr>
        <w:t>Health, wellbeing and information</w:t>
      </w:r>
    </w:p>
    <w:p w:rsidR="00E71605" w:rsidRPr="00A761BB" w:rsidRDefault="00E71605" w:rsidP="00A761BB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  <w:lang w:val="en-US"/>
        </w:rPr>
      </w:pPr>
      <w:r w:rsidRPr="00A761BB">
        <w:rPr>
          <w:b/>
          <w:sz w:val="24"/>
          <w:szCs w:val="24"/>
          <w:lang w:val="en-US"/>
        </w:rPr>
        <w:t>Academic support and study skills</w:t>
      </w:r>
    </w:p>
    <w:p w:rsidR="00E71605" w:rsidRPr="00A761BB" w:rsidRDefault="00E71605" w:rsidP="00A761BB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  <w:lang w:val="en-US"/>
        </w:rPr>
      </w:pPr>
      <w:r w:rsidRPr="00A761BB">
        <w:rPr>
          <w:b/>
          <w:sz w:val="24"/>
          <w:szCs w:val="24"/>
          <w:lang w:val="en-US"/>
        </w:rPr>
        <w:t>Careers development and networking</w:t>
      </w:r>
    </w:p>
    <w:p w:rsidR="00E71605" w:rsidRPr="00A761BB" w:rsidRDefault="00E71605" w:rsidP="00A761BB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  <w:lang w:val="en-US"/>
        </w:rPr>
      </w:pPr>
      <w:r w:rsidRPr="00A761BB">
        <w:rPr>
          <w:b/>
          <w:sz w:val="24"/>
          <w:szCs w:val="24"/>
          <w:lang w:val="en-US"/>
        </w:rPr>
        <w:t>Community engagement and giving back</w:t>
      </w:r>
    </w:p>
    <w:p w:rsidR="00E71605" w:rsidRPr="00A761BB" w:rsidRDefault="00E71605" w:rsidP="00A761BB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  <w:lang w:val="en-US"/>
        </w:rPr>
      </w:pPr>
      <w:r w:rsidRPr="00A761BB">
        <w:rPr>
          <w:b/>
          <w:sz w:val="24"/>
          <w:szCs w:val="24"/>
          <w:lang w:val="en-US"/>
        </w:rPr>
        <w:t>Internships, placements and Study Abroad</w:t>
      </w:r>
    </w:p>
    <w:p w:rsidR="00E71605" w:rsidRPr="00A761BB" w:rsidRDefault="00E71605" w:rsidP="00A761BB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  <w:lang w:val="en-US"/>
        </w:rPr>
      </w:pPr>
      <w:r w:rsidRPr="00A761BB">
        <w:rPr>
          <w:b/>
          <w:sz w:val="24"/>
          <w:szCs w:val="24"/>
          <w:lang w:val="en-US"/>
        </w:rPr>
        <w:t>Work opportunities</w:t>
      </w:r>
    </w:p>
    <w:p w:rsidR="00E71605" w:rsidRPr="00A761BB" w:rsidRDefault="00E71605" w:rsidP="00A761BB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  <w:lang w:val="en-US"/>
        </w:rPr>
      </w:pPr>
      <w:r w:rsidRPr="00A761BB">
        <w:rPr>
          <w:b/>
          <w:sz w:val="24"/>
          <w:szCs w:val="24"/>
          <w:lang w:val="en-US"/>
        </w:rPr>
        <w:t>Student led activities</w:t>
      </w:r>
    </w:p>
    <w:p w:rsidR="00E71605" w:rsidRDefault="00E71605" w:rsidP="00A761BB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  <w:lang w:val="en-US"/>
        </w:rPr>
      </w:pPr>
      <w:r w:rsidRPr="00A761BB">
        <w:rPr>
          <w:b/>
          <w:sz w:val="24"/>
          <w:szCs w:val="24"/>
          <w:lang w:val="en-US"/>
        </w:rPr>
        <w:t>Social activities</w:t>
      </w:r>
    </w:p>
    <w:p w:rsidR="00A761BB" w:rsidRDefault="00A761BB" w:rsidP="00A761BB">
      <w:pPr>
        <w:pStyle w:val="ListParagraph"/>
        <w:rPr>
          <w:b/>
          <w:sz w:val="24"/>
          <w:szCs w:val="24"/>
          <w:lang w:val="en-US"/>
        </w:rPr>
      </w:pPr>
    </w:p>
    <w:p w:rsidR="00A761BB" w:rsidRDefault="00A761BB" w:rsidP="00A761BB">
      <w:pPr>
        <w:pStyle w:val="ListParagraph"/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2066925" cy="2162175"/>
            <wp:effectExtent l="19050" t="0" r="9525" b="0"/>
            <wp:docPr id="3" name="Picture 2" descr="jigs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gsaw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1BB" w:rsidRPr="00A761BB" w:rsidRDefault="00A761BB" w:rsidP="00A761BB">
      <w:pPr>
        <w:pStyle w:val="ListParagraph"/>
        <w:jc w:val="center"/>
        <w:rPr>
          <w:b/>
          <w:sz w:val="24"/>
          <w:szCs w:val="24"/>
          <w:lang w:val="en-US"/>
        </w:rPr>
      </w:pPr>
    </w:p>
    <w:p w:rsidR="00E71605" w:rsidRDefault="00E71605">
      <w:pPr>
        <w:rPr>
          <w:sz w:val="24"/>
          <w:szCs w:val="24"/>
          <w:lang w:val="en-US"/>
        </w:rPr>
      </w:pPr>
      <w:r w:rsidRPr="00E71605">
        <w:rPr>
          <w:sz w:val="24"/>
          <w:szCs w:val="24"/>
          <w:lang w:val="en-US"/>
        </w:rPr>
        <w:t>How much you engage with each of these is up to you and no two people are the same, but remember the more you put in</w:t>
      </w:r>
      <w:r>
        <w:rPr>
          <w:sz w:val="24"/>
          <w:szCs w:val="24"/>
          <w:lang w:val="en-US"/>
        </w:rPr>
        <w:t>, the more you get out.</w:t>
      </w:r>
    </w:p>
    <w:p w:rsidR="00E71605" w:rsidRDefault="00E71605">
      <w:pPr>
        <w:rPr>
          <w:lang w:val="en-US"/>
        </w:rPr>
      </w:pPr>
      <w:r>
        <w:rPr>
          <w:lang w:val="en-US"/>
        </w:rPr>
        <w:t>Think about what you might want to get involved in at university.  Look on the university’s website and see what is available.</w:t>
      </w:r>
      <w:r w:rsidR="00A761BB">
        <w:rPr>
          <w:lang w:val="en-US"/>
        </w:rPr>
        <w:t xml:space="preserve"> Below are a few of examples of what the University of York provides, but all universities offer similar support:</w:t>
      </w:r>
    </w:p>
    <w:p w:rsidR="00A761BB" w:rsidRDefault="00A761BB">
      <w:pPr>
        <w:rPr>
          <w:lang w:val="en-US"/>
        </w:rPr>
      </w:pPr>
      <w:hyperlink r:id="rId8" w:history="1">
        <w:r w:rsidRPr="00D9308D">
          <w:rPr>
            <w:rStyle w:val="Hyperlink"/>
            <w:lang w:val="en-US"/>
          </w:rPr>
          <w:t>https://www.york.ac.uk/students/</w:t>
        </w:r>
      </w:hyperlink>
    </w:p>
    <w:p w:rsidR="00A761BB" w:rsidRDefault="00A761BB">
      <w:pPr>
        <w:rPr>
          <w:lang w:val="en-US"/>
        </w:rPr>
      </w:pPr>
      <w:hyperlink r:id="rId9" w:history="1">
        <w:r w:rsidRPr="00D9308D">
          <w:rPr>
            <w:rStyle w:val="Hyperlink"/>
            <w:lang w:val="en-US"/>
          </w:rPr>
          <w:t>https://www.york.ac.uk/students/health/workshops/</w:t>
        </w:r>
      </w:hyperlink>
    </w:p>
    <w:p w:rsidR="00A761BB" w:rsidRDefault="00A761BB">
      <w:pPr>
        <w:rPr>
          <w:lang w:val="en-US"/>
        </w:rPr>
      </w:pPr>
      <w:hyperlink r:id="rId10" w:history="1">
        <w:r w:rsidRPr="00D9308D">
          <w:rPr>
            <w:rStyle w:val="Hyperlink"/>
            <w:lang w:val="en-US"/>
          </w:rPr>
          <w:t>https://www.york.ac.uk/students/health/wellbeing/</w:t>
        </w:r>
      </w:hyperlink>
    </w:p>
    <w:p w:rsidR="00E71605" w:rsidRDefault="00E71605">
      <w:pPr>
        <w:rPr>
          <w:lang w:val="en-US"/>
        </w:rPr>
      </w:pPr>
      <w:r>
        <w:rPr>
          <w:lang w:val="en-US"/>
        </w:rPr>
        <w:br w:type="page"/>
      </w:r>
    </w:p>
    <w:p w:rsidR="00E71605" w:rsidRPr="00F85EEA" w:rsidRDefault="00F85EEA" w:rsidP="00F85EEA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Preparing for University - </w:t>
      </w:r>
      <w:r w:rsidR="00E71605" w:rsidRPr="00F85EEA">
        <w:rPr>
          <w:b/>
          <w:sz w:val="24"/>
          <w:szCs w:val="24"/>
          <w:lang w:val="en-US"/>
        </w:rPr>
        <w:t>Well being at University</w:t>
      </w:r>
    </w:p>
    <w:p w:rsidR="00E71605" w:rsidRPr="00F85EEA" w:rsidRDefault="00E71605">
      <w:pPr>
        <w:rPr>
          <w:b/>
          <w:sz w:val="24"/>
          <w:szCs w:val="24"/>
          <w:lang w:val="en-US"/>
        </w:rPr>
      </w:pPr>
      <w:r w:rsidRPr="00F85EEA">
        <w:rPr>
          <w:b/>
          <w:sz w:val="24"/>
          <w:szCs w:val="24"/>
          <w:lang w:val="en-US"/>
        </w:rPr>
        <w:t>Useful wellbeing tools</w:t>
      </w:r>
    </w:p>
    <w:p w:rsidR="00F85EEA" w:rsidRPr="00F85EEA" w:rsidRDefault="00E71605">
      <w:pPr>
        <w:rPr>
          <w:b/>
          <w:sz w:val="24"/>
          <w:szCs w:val="24"/>
          <w:lang w:val="en-US"/>
        </w:rPr>
      </w:pPr>
      <w:r w:rsidRPr="00F85EEA">
        <w:rPr>
          <w:b/>
          <w:sz w:val="24"/>
          <w:szCs w:val="24"/>
          <w:lang w:val="en-US"/>
        </w:rPr>
        <w:t xml:space="preserve">888 </w:t>
      </w:r>
    </w:p>
    <w:p w:rsidR="00E71605" w:rsidRPr="00F85EEA" w:rsidRDefault="00E71605">
      <w:pPr>
        <w:rPr>
          <w:sz w:val="24"/>
          <w:szCs w:val="24"/>
          <w:lang w:val="en-US"/>
        </w:rPr>
      </w:pPr>
      <w:r w:rsidRPr="00F85EEA">
        <w:rPr>
          <w:sz w:val="24"/>
          <w:szCs w:val="24"/>
          <w:lang w:val="en-US"/>
        </w:rPr>
        <w:t>8 hours sleep, 8 hours study, 8 hours play</w:t>
      </w:r>
      <w:r w:rsidR="00F85EEA" w:rsidRPr="00F85EEA">
        <w:rPr>
          <w:sz w:val="24"/>
          <w:szCs w:val="24"/>
          <w:lang w:val="en-US"/>
        </w:rPr>
        <w:t xml:space="preserve"> – stick to this and you can’t go far wrong</w:t>
      </w:r>
    </w:p>
    <w:p w:rsidR="00F85EEA" w:rsidRPr="00F85EEA" w:rsidRDefault="00F85EEA">
      <w:pPr>
        <w:rPr>
          <w:sz w:val="24"/>
          <w:szCs w:val="24"/>
          <w:lang w:val="en-US"/>
        </w:rPr>
      </w:pPr>
    </w:p>
    <w:p w:rsidR="00F85EEA" w:rsidRPr="00F85EEA" w:rsidRDefault="00F85EEA">
      <w:pPr>
        <w:rPr>
          <w:b/>
          <w:sz w:val="24"/>
          <w:szCs w:val="24"/>
          <w:lang w:val="en-US"/>
        </w:rPr>
      </w:pPr>
      <w:r w:rsidRPr="00F85EEA">
        <w:rPr>
          <w:b/>
          <w:sz w:val="24"/>
          <w:szCs w:val="24"/>
          <w:lang w:val="en-US"/>
        </w:rPr>
        <w:t xml:space="preserve">5 ways to wellbeing </w:t>
      </w:r>
    </w:p>
    <w:p w:rsidR="00F85EEA" w:rsidRPr="00F85EEA" w:rsidRDefault="00F85EEA" w:rsidP="00F85EE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F85EEA">
        <w:rPr>
          <w:sz w:val="24"/>
          <w:szCs w:val="24"/>
          <w:lang w:val="en-US"/>
        </w:rPr>
        <w:t>Connect</w:t>
      </w:r>
    </w:p>
    <w:p w:rsidR="00F85EEA" w:rsidRPr="00F85EEA" w:rsidRDefault="00F85EEA" w:rsidP="00F85EE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F85EEA">
        <w:rPr>
          <w:sz w:val="24"/>
          <w:szCs w:val="24"/>
          <w:lang w:val="en-US"/>
        </w:rPr>
        <w:t>Keep learning</w:t>
      </w:r>
    </w:p>
    <w:p w:rsidR="00F85EEA" w:rsidRPr="00F85EEA" w:rsidRDefault="00F85EEA" w:rsidP="00F85EE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F85EEA">
        <w:rPr>
          <w:sz w:val="24"/>
          <w:szCs w:val="24"/>
          <w:lang w:val="en-US"/>
        </w:rPr>
        <w:t>Be active</w:t>
      </w:r>
    </w:p>
    <w:p w:rsidR="00F85EEA" w:rsidRPr="00F85EEA" w:rsidRDefault="00F85EEA" w:rsidP="00F85EE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F85EEA">
        <w:rPr>
          <w:sz w:val="24"/>
          <w:szCs w:val="24"/>
          <w:lang w:val="en-US"/>
        </w:rPr>
        <w:t>Take notice</w:t>
      </w:r>
    </w:p>
    <w:p w:rsidR="00F85EEA" w:rsidRPr="00F85EEA" w:rsidRDefault="00F85EEA" w:rsidP="00F85EE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F85EEA">
        <w:rPr>
          <w:sz w:val="24"/>
          <w:szCs w:val="24"/>
          <w:lang w:val="en-US"/>
        </w:rPr>
        <w:t>Give</w:t>
      </w:r>
    </w:p>
    <w:p w:rsidR="00F85EEA" w:rsidRPr="00F85EEA" w:rsidRDefault="00F85EEA">
      <w:pPr>
        <w:rPr>
          <w:sz w:val="24"/>
          <w:szCs w:val="24"/>
          <w:lang w:val="en-US"/>
        </w:rPr>
      </w:pPr>
      <w:hyperlink r:id="rId11" w:history="1">
        <w:r w:rsidRPr="00F85EEA">
          <w:rPr>
            <w:rStyle w:val="Hyperlink"/>
            <w:sz w:val="24"/>
            <w:szCs w:val="24"/>
            <w:lang w:val="en-US"/>
          </w:rPr>
          <w:t>https://www.mind.org.uk/workplace/mental-health-at-work/taking-care-of-yourself/five-ways-to-wellbeing/</w:t>
        </w:r>
      </w:hyperlink>
    </w:p>
    <w:p w:rsidR="00F85EEA" w:rsidRPr="00F85EEA" w:rsidRDefault="00F85EEA">
      <w:pPr>
        <w:rPr>
          <w:b/>
          <w:sz w:val="24"/>
          <w:szCs w:val="24"/>
          <w:lang w:val="en-US"/>
        </w:rPr>
      </w:pPr>
    </w:p>
    <w:p w:rsidR="00E71605" w:rsidRDefault="00F85EEA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Stress bucket</w:t>
      </w:r>
    </w:p>
    <w:p w:rsidR="00F85EEA" w:rsidRPr="00E71605" w:rsidRDefault="00F85EEA" w:rsidP="00F85EEA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6245225" cy="4008738"/>
            <wp:effectExtent l="19050" t="0" r="3175" b="0"/>
            <wp:docPr id="2" name="Picture 1" descr="stress-bucketforb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ss-bucketforblog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55524" cy="401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5EEA" w:rsidRPr="00E71605" w:rsidSect="00164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E05" w:rsidRDefault="00287E05" w:rsidP="00F85EEA">
      <w:pPr>
        <w:spacing w:after="0" w:line="240" w:lineRule="auto"/>
      </w:pPr>
      <w:r>
        <w:separator/>
      </w:r>
    </w:p>
  </w:endnote>
  <w:endnote w:type="continuationSeparator" w:id="1">
    <w:p w:rsidR="00287E05" w:rsidRDefault="00287E05" w:rsidP="00F8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E05" w:rsidRDefault="00287E05" w:rsidP="00F85EEA">
      <w:pPr>
        <w:spacing w:after="0" w:line="240" w:lineRule="auto"/>
      </w:pPr>
      <w:r>
        <w:separator/>
      </w:r>
    </w:p>
  </w:footnote>
  <w:footnote w:type="continuationSeparator" w:id="1">
    <w:p w:rsidR="00287E05" w:rsidRDefault="00287E05" w:rsidP="00F85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F1F7E"/>
    <w:multiLevelType w:val="hybridMultilevel"/>
    <w:tmpl w:val="DCD6B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94A18"/>
    <w:multiLevelType w:val="hybridMultilevel"/>
    <w:tmpl w:val="BADE5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605"/>
    <w:rsid w:val="00161897"/>
    <w:rsid w:val="00164163"/>
    <w:rsid w:val="00171BAF"/>
    <w:rsid w:val="00287E05"/>
    <w:rsid w:val="00490953"/>
    <w:rsid w:val="00A761BB"/>
    <w:rsid w:val="00C36D5C"/>
    <w:rsid w:val="00DE5CC0"/>
    <w:rsid w:val="00E71605"/>
    <w:rsid w:val="00F8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6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E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E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5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EEA"/>
  </w:style>
  <w:style w:type="paragraph" w:styleId="Footer">
    <w:name w:val="footer"/>
    <w:basedOn w:val="Normal"/>
    <w:link w:val="FooterChar"/>
    <w:uiPriority w:val="99"/>
    <w:semiHidden/>
    <w:unhideWhenUsed/>
    <w:rsid w:val="00F85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.ac.uk/studen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nd.org.uk/workplace/mental-health-at-work/taking-care-of-yourself/five-ways-to-wellbein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rk.ac.uk/students/health/wellbe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rk.ac.uk/students/health/workshop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of Quinn</dc:creator>
  <cp:lastModifiedBy>House of Quinn</cp:lastModifiedBy>
  <cp:revision>1</cp:revision>
  <dcterms:created xsi:type="dcterms:W3CDTF">2020-05-04T17:12:00Z</dcterms:created>
  <dcterms:modified xsi:type="dcterms:W3CDTF">2020-05-04T17:46:00Z</dcterms:modified>
</cp:coreProperties>
</file>